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FE" w:rsidRDefault="00AC72FE" w:rsidP="005D6A8C">
      <w:pPr>
        <w:spacing w:after="0" w:line="240" w:lineRule="auto"/>
        <w:ind w:firstLine="0"/>
        <w:jc w:val="center"/>
        <w:rPr>
          <w:rFonts w:cs="Times New Roman"/>
          <w:b/>
          <w:szCs w:val="28"/>
        </w:rPr>
      </w:pPr>
    </w:p>
    <w:p w:rsidR="00AC72FE" w:rsidRPr="00AC72FE" w:rsidRDefault="00AC72FE" w:rsidP="00AC72FE">
      <w:pPr>
        <w:spacing w:after="0" w:line="240" w:lineRule="auto"/>
        <w:ind w:firstLine="0"/>
        <w:jc w:val="right"/>
        <w:rPr>
          <w:rFonts w:cs="Times New Roman"/>
          <w:szCs w:val="28"/>
        </w:rPr>
      </w:pPr>
      <w:bookmarkStart w:id="0" w:name="_GoBack"/>
      <w:r w:rsidRPr="00AC72FE">
        <w:rPr>
          <w:rFonts w:cs="Times New Roman"/>
          <w:szCs w:val="28"/>
        </w:rPr>
        <w:t>Письмо Министерства труда</w:t>
      </w:r>
    </w:p>
    <w:p w:rsidR="00AC72FE" w:rsidRPr="00AC72FE" w:rsidRDefault="00AC72FE" w:rsidP="00AC72FE">
      <w:pPr>
        <w:spacing w:after="0" w:line="240" w:lineRule="auto"/>
        <w:ind w:firstLine="0"/>
        <w:jc w:val="right"/>
        <w:rPr>
          <w:rFonts w:cs="Times New Roman"/>
          <w:szCs w:val="28"/>
        </w:rPr>
      </w:pPr>
      <w:r w:rsidRPr="00AC72FE">
        <w:rPr>
          <w:rFonts w:cs="Times New Roman"/>
          <w:szCs w:val="28"/>
        </w:rPr>
        <w:t>И социальной защиты</w:t>
      </w:r>
    </w:p>
    <w:p w:rsidR="00AC72FE" w:rsidRPr="00AC72FE" w:rsidRDefault="00AC72FE" w:rsidP="00AC72FE">
      <w:pPr>
        <w:spacing w:after="0" w:line="240" w:lineRule="auto"/>
        <w:ind w:firstLine="0"/>
        <w:jc w:val="right"/>
        <w:rPr>
          <w:rFonts w:cs="Times New Roman"/>
          <w:szCs w:val="28"/>
        </w:rPr>
      </w:pPr>
      <w:r w:rsidRPr="00AC72FE">
        <w:rPr>
          <w:rFonts w:cs="Times New Roman"/>
          <w:szCs w:val="28"/>
        </w:rPr>
        <w:t>Российской Федерации</w:t>
      </w:r>
    </w:p>
    <w:p w:rsidR="00AC72FE" w:rsidRPr="00AC72FE" w:rsidRDefault="00AC72FE" w:rsidP="00AC72FE">
      <w:pPr>
        <w:spacing w:after="0" w:line="240" w:lineRule="auto"/>
        <w:ind w:firstLine="0"/>
        <w:jc w:val="right"/>
        <w:rPr>
          <w:rFonts w:cs="Times New Roman"/>
          <w:szCs w:val="28"/>
        </w:rPr>
      </w:pPr>
      <w:r w:rsidRPr="00AC72FE">
        <w:rPr>
          <w:rFonts w:cs="Times New Roman"/>
          <w:szCs w:val="28"/>
        </w:rPr>
        <w:t>От 26.12.2019 № 182/10/П-11879</w:t>
      </w:r>
    </w:p>
    <w:p w:rsidR="00AC72FE" w:rsidRDefault="00AC72FE" w:rsidP="005D6A8C">
      <w:pPr>
        <w:spacing w:after="0" w:line="240" w:lineRule="auto"/>
        <w:ind w:firstLine="0"/>
        <w:jc w:val="center"/>
        <w:rPr>
          <w:rFonts w:cs="Times New Roman"/>
          <w:b/>
          <w:szCs w:val="28"/>
        </w:rPr>
      </w:pPr>
    </w:p>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 xml:space="preserve">марта </w:t>
      </w:r>
      <w:r w:rsidR="002F2FBF" w:rsidRPr="00D26593">
        <w:rPr>
          <w:rFonts w:cs="Times New Roman"/>
          <w:szCs w:val="28"/>
        </w:rPr>
        <w:lastRenderedPageBreak/>
        <w:t>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w:t>
      </w:r>
      <w:r w:rsidR="00424C6A" w:rsidRPr="00D26593">
        <w:rPr>
          <w:rFonts w:cs="Times New Roman"/>
          <w:szCs w:val="28"/>
        </w:rPr>
        <w:lastRenderedPageBreak/>
        <w:t>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w:t>
      </w:r>
      <w:bookmarkEnd w:id="0"/>
      <w:r w:rsidRPr="00D26593">
        <w:rPr>
          <w:rFonts w:cs="Times New Roman"/>
          <w:szCs w:val="28"/>
        </w:rPr>
        <w:t xml:space="preserve">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lastRenderedPageBreak/>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lastRenderedPageBreak/>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lastRenderedPageBreak/>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lastRenderedPageBreak/>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631" w:rsidRDefault="00E66631" w:rsidP="00BC12B9">
      <w:pPr>
        <w:spacing w:after="0" w:line="240" w:lineRule="auto"/>
      </w:pPr>
      <w:r>
        <w:separator/>
      </w:r>
    </w:p>
  </w:endnote>
  <w:endnote w:type="continuationSeparator" w:id="0">
    <w:p w:rsidR="00E66631" w:rsidRDefault="00E66631"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631" w:rsidRDefault="00E66631" w:rsidP="00BC12B9">
      <w:pPr>
        <w:spacing w:after="0" w:line="240" w:lineRule="auto"/>
      </w:pPr>
      <w:r>
        <w:separator/>
      </w:r>
    </w:p>
  </w:footnote>
  <w:footnote w:type="continuationSeparator" w:id="0">
    <w:p w:rsidR="00E66631" w:rsidRDefault="00E66631"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70503"/>
      <w:docPartObj>
        <w:docPartGallery w:val="Page Numbers (Top of Page)"/>
        <w:docPartUnique/>
      </w:docPartObj>
    </w:sdtPr>
    <w:sdtEndPr/>
    <w:sdtContent>
      <w:p w:rsidR="00016996" w:rsidRDefault="00FF79E4" w:rsidP="00477513">
        <w:pPr>
          <w:pStyle w:val="a3"/>
          <w:ind w:firstLine="0"/>
          <w:jc w:val="center"/>
        </w:pPr>
        <w:r>
          <w:fldChar w:fldCharType="begin"/>
        </w:r>
        <w:r>
          <w:instrText xml:space="preserve"> PAGE   \* MERGEFORMAT </w:instrText>
        </w:r>
        <w:r>
          <w:fldChar w:fldCharType="separate"/>
        </w:r>
        <w:r w:rsidR="00AA3BB6">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96" w:rsidRDefault="00016996" w:rsidP="00583BFC">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96" w:rsidRDefault="00016996" w:rsidP="00583BFC">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96" w:rsidRDefault="00016996" w:rsidP="00583BF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3E51"/>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BB6"/>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C72FE"/>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631"/>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9E4"/>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B685C-9F0D-4B46-A7AB-178CBD0A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427E0-0CB8-4463-8691-377DC273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9535</Words>
  <Characters>54356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Golubtsov</dc:creator>
  <cp:lastModifiedBy>Пользователь Windows</cp:lastModifiedBy>
  <cp:revision>2</cp:revision>
  <cp:lastPrinted>2019-11-18T12:56:00Z</cp:lastPrinted>
  <dcterms:created xsi:type="dcterms:W3CDTF">2023-04-19T06:14:00Z</dcterms:created>
  <dcterms:modified xsi:type="dcterms:W3CDTF">2023-04-19T06:14:00Z</dcterms:modified>
</cp:coreProperties>
</file>